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34" w:rsidRPr="008A0634" w:rsidRDefault="008A0634" w:rsidP="008A0634">
      <w:pPr>
        <w:spacing w:line="360" w:lineRule="auto"/>
        <w:jc w:val="center"/>
        <w:rPr>
          <w:rFonts w:ascii="Times New Roman" w:eastAsia="Times New Roman" w:hAnsi="Times New Roman" w:cs="Times New Roman"/>
          <w:b/>
          <w:color w:val="000000" w:themeColor="text1"/>
          <w:sz w:val="24"/>
          <w:szCs w:val="24"/>
          <w:lang w:eastAsia="id-ID"/>
        </w:rPr>
      </w:pPr>
      <w:r w:rsidRPr="008A0634">
        <w:rPr>
          <w:rFonts w:ascii="Times New Roman" w:eastAsia="Times New Roman" w:hAnsi="Times New Roman" w:cs="Times New Roman"/>
          <w:b/>
          <w:color w:val="000000" w:themeColor="text1"/>
          <w:sz w:val="24"/>
          <w:szCs w:val="24"/>
          <w:lang w:eastAsia="id-ID"/>
        </w:rPr>
        <w:t xml:space="preserve">TUJUAN PENYELENGGARAAN </w:t>
      </w:r>
      <w:r w:rsidR="00DD2782" w:rsidRPr="008A0634">
        <w:rPr>
          <w:rFonts w:ascii="Times New Roman" w:eastAsia="Times New Roman" w:hAnsi="Times New Roman" w:cs="Times New Roman"/>
          <w:b/>
          <w:color w:val="000000" w:themeColor="text1"/>
          <w:sz w:val="24"/>
          <w:szCs w:val="24"/>
          <w:lang w:eastAsia="id-ID"/>
        </w:rPr>
        <w:t xml:space="preserve">BANTUAN HUKUM </w:t>
      </w:r>
    </w:p>
    <w:p w:rsidR="00DD2782" w:rsidRPr="008A0634" w:rsidRDefault="00DD2782" w:rsidP="008A0634">
      <w:pPr>
        <w:spacing w:line="360" w:lineRule="auto"/>
        <w:jc w:val="center"/>
        <w:rPr>
          <w:rFonts w:ascii="Times New Roman" w:eastAsia="Times New Roman" w:hAnsi="Times New Roman" w:cs="Times New Roman"/>
          <w:b/>
          <w:color w:val="000000" w:themeColor="text1"/>
          <w:sz w:val="24"/>
          <w:szCs w:val="24"/>
          <w:lang w:eastAsia="id-ID"/>
        </w:rPr>
      </w:pPr>
      <w:r w:rsidRPr="008A0634">
        <w:rPr>
          <w:rFonts w:ascii="Times New Roman" w:eastAsia="Times New Roman" w:hAnsi="Times New Roman" w:cs="Times New Roman"/>
          <w:b/>
          <w:color w:val="000000" w:themeColor="text1"/>
          <w:sz w:val="24"/>
          <w:szCs w:val="24"/>
          <w:lang w:eastAsia="id-ID"/>
        </w:rPr>
        <w:t>BAGI ORANG YANG TIDAK MAMPU</w:t>
      </w:r>
      <w:r w:rsidRPr="008A0634">
        <w:rPr>
          <w:rStyle w:val="FootnoteReference"/>
          <w:rFonts w:ascii="Times New Roman" w:eastAsia="Times New Roman" w:hAnsi="Times New Roman" w:cs="Times New Roman"/>
          <w:b/>
          <w:color w:val="000000" w:themeColor="text1"/>
          <w:sz w:val="24"/>
          <w:szCs w:val="24"/>
          <w:lang w:eastAsia="id-ID"/>
        </w:rPr>
        <w:footnoteReference w:id="2"/>
      </w:r>
    </w:p>
    <w:p w:rsidR="00DD2782" w:rsidRDefault="00DD2782" w:rsidP="00DD2782">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OLEH</w:t>
      </w:r>
    </w:p>
    <w:p w:rsidR="00DD2782" w:rsidRDefault="00DD2782" w:rsidP="00DD2782">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BASRI, SH., M.HUM</w:t>
      </w:r>
      <w:r>
        <w:rPr>
          <w:rStyle w:val="FootnoteReference"/>
          <w:rFonts w:ascii="Times New Roman" w:eastAsia="Times New Roman" w:hAnsi="Times New Roman" w:cs="Times New Roman"/>
          <w:color w:val="000000" w:themeColor="text1"/>
          <w:sz w:val="24"/>
          <w:szCs w:val="24"/>
          <w:lang w:eastAsia="id-ID"/>
        </w:rPr>
        <w:footnoteReference w:id="3"/>
      </w:r>
    </w:p>
    <w:p w:rsidR="00DD2782" w:rsidRDefault="00DD2782" w:rsidP="00DD2782">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p>
    <w:p w:rsidR="00DD2782" w:rsidRPr="00DD2782" w:rsidRDefault="00DD2782" w:rsidP="00DD2782">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id-ID"/>
        </w:rPr>
      </w:pPr>
      <w:r w:rsidRPr="00DD2782">
        <w:rPr>
          <w:rFonts w:ascii="Times New Roman" w:eastAsia="Times New Roman" w:hAnsi="Times New Roman" w:cs="Times New Roman"/>
          <w:b/>
          <w:color w:val="000000" w:themeColor="text1"/>
          <w:sz w:val="24"/>
          <w:szCs w:val="24"/>
          <w:lang w:eastAsia="id-ID"/>
        </w:rPr>
        <w:t>P</w:t>
      </w:r>
      <w:r w:rsidR="00A07123">
        <w:rPr>
          <w:rFonts w:ascii="Times New Roman" w:eastAsia="Times New Roman" w:hAnsi="Times New Roman" w:cs="Times New Roman"/>
          <w:b/>
          <w:color w:val="000000" w:themeColor="text1"/>
          <w:sz w:val="24"/>
          <w:szCs w:val="24"/>
          <w:lang w:eastAsia="id-ID"/>
        </w:rPr>
        <w:t>ENDAHULUAN</w:t>
      </w:r>
    </w:p>
    <w:p w:rsidR="00DD2782" w:rsidRPr="00DD2782" w:rsidRDefault="00DD2782" w:rsidP="00DD2782">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Program pemberian bantuan hukum bagi masyarakat tidak mampu telah berlangsung sejak tahun 1980 hingga sekarang</w:t>
      </w:r>
      <w:r>
        <w:rPr>
          <w:rFonts w:ascii="Times New Roman" w:eastAsia="Times New Roman" w:hAnsi="Times New Roman" w:cs="Times New Roman"/>
          <w:color w:val="000000" w:themeColor="text1"/>
          <w:sz w:val="24"/>
          <w:szCs w:val="24"/>
          <w:lang w:eastAsia="id-ID"/>
        </w:rPr>
        <w:t>.</w:t>
      </w:r>
      <w:r w:rsidRPr="00DD2782">
        <w:rPr>
          <w:rFonts w:ascii="Times New Roman" w:eastAsia="Times New Roman" w:hAnsi="Times New Roman" w:cs="Times New Roman"/>
          <w:color w:val="000000" w:themeColor="text1"/>
          <w:sz w:val="24"/>
          <w:szCs w:val="24"/>
          <w:lang w:eastAsia="id-ID"/>
        </w:rPr>
        <w:t xml:space="preserve"> Dalam kurun waktu tersebut, banyak hal yang menunjukkan bahwa pemberian bantuan hukum bagi masyarakat tidak mampu sangat diperlukan, dan diharapkan adanya peningkatan atau intensitas pelaksanaan bantuan hukum dari tahun ke tahun.</w:t>
      </w:r>
    </w:p>
    <w:p w:rsidR="00DD2782" w:rsidRPr="00DD2782" w:rsidRDefault="00DD2782" w:rsidP="00DD2782">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Arah kebijaksanaan dari program bantuan hukum bagi masyarakat tidak mampu, disamping memberdayakan keberadaan dan kesamaan hukum bagi seluruh lapisan masyarakat, juga bertujuan untuk menggugah kesadaran dan kepatuhan hukum masyarakat, yaitu melalui penggunaan hak yang disediakan oleh Negara dalam hal membela kepentingan hukumnya di depan Pengadilan.</w:t>
      </w:r>
    </w:p>
    <w:p w:rsidR="00DD2782" w:rsidRPr="00DD2782" w:rsidRDefault="00DD2782" w:rsidP="00DD2782">
      <w:pPr>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Dalam rangka pemerataan pemberian dana bantuan hukum bagi masyarakat tidak mampu, pada awal pelaksanaannya di tahun anggaran 1980/1981 sampai dengan 1993/1994 hanya disalurkan melalui Pengadilan Negeri sebagai lembaga satu-satunya dalam penyaluran dana bantuan hukum, maka sejak tahun anggaran 1994/1995 hingga sekarang, penyaluran dana bantuan hukum disamping melalui Pengadilan Negeri juga dilakukan melalui Lembaga Bantuan Hukum yang tersebar di wilayah hukum Pengadilan Negeri. Dengan demikian dana bantuan hukum bagi masyarakat tidak mampu dapat disalurkan melalui :</w:t>
      </w:r>
    </w:p>
    <w:p w:rsidR="00DD2782" w:rsidRPr="00DD2782" w:rsidRDefault="00DD2782" w:rsidP="00DD2782">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Dana Bantuan Hukum melalui Pengadilan Negeri; atau</w:t>
      </w:r>
    </w:p>
    <w:p w:rsidR="00DD2782" w:rsidRPr="00DD2782" w:rsidRDefault="00DD2782" w:rsidP="00DD2782">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Dana Bantuan Hukum yang disediakan di Lembaga Bantuan Hukum </w:t>
      </w:r>
    </w:p>
    <w:p w:rsidR="00DD2782" w:rsidRPr="00DD2782" w:rsidRDefault="00DD2782" w:rsidP="00DD2782">
      <w:pPr>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lastRenderedPageBreak/>
        <w:t>Sebagaimana diketahui, bahwa penegakan hukum melalui lembaga peradilan tidak bersifat diskriminatif. Artinya setiap manusia, baik mampu atau tidak mampu secara sosial-ekonomi, berhak memperoleh pembelaan hukum di depan pengadilan. Untuk itu diharapkan sifat pembelaan secara cuma-cuma dalam perkara pidana dan perdata tidak dilihat dari aspek degradasi martabat atau harga diri seseorang, tetapi dilihat sebagai bentuk penghargaan terhadap hukum dan kemanusiaan yang semata-mata untuk meringankan beban (hukum) masyarakat tidak mampu.</w:t>
      </w:r>
    </w:p>
    <w:p w:rsidR="00DD2782" w:rsidRPr="00DD2782" w:rsidRDefault="00DD2782" w:rsidP="00DD2782">
      <w:pPr>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Lembaga Bantuan Hukum atau Advokat sebagai pemberi bantuan (pembelaan) hukum dalam Program Bantuan Hukum Bagi Masyarakat Tidak Mampu, diharapkan kesediaannya untuk senantiasa membela kepentingan hukum masyarakat tidak mampu, walaupun Mahkamah Agung RI cq. Direktorat Jenderal Badan Peradilan Umum hanya menyediakan dana yang terbatas</w:t>
      </w:r>
    </w:p>
    <w:p w:rsidR="00DD2782" w:rsidRPr="00DD2782" w:rsidRDefault="00DD2782" w:rsidP="00DD2782">
      <w:pPr>
        <w:spacing w:line="360" w:lineRule="auto"/>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b/>
          <w:bCs/>
          <w:color w:val="000000" w:themeColor="text1"/>
          <w:sz w:val="24"/>
          <w:szCs w:val="24"/>
          <w:lang w:eastAsia="id-ID"/>
        </w:rPr>
        <w:t>DASAR PEMBERIAN BANTUAN HUKUM</w:t>
      </w:r>
      <w:r w:rsidRPr="00DD2782">
        <w:rPr>
          <w:rFonts w:ascii="Times New Roman" w:eastAsia="Times New Roman" w:hAnsi="Times New Roman" w:cs="Times New Roman"/>
          <w:color w:val="000000" w:themeColor="text1"/>
          <w:sz w:val="24"/>
          <w:szCs w:val="24"/>
          <w:lang w:eastAsia="id-ID"/>
        </w:rPr>
        <w:t xml:space="preserve"> </w:t>
      </w:r>
    </w:p>
    <w:p w:rsidR="00DD2782" w:rsidRPr="00DD2782" w:rsidRDefault="00DD2782" w:rsidP="00DD2782">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Program pemberian bantuan hukum bagi masyarakat tidak mampu dilakukan berdasarkan ketentuan-ketentuan tersebut di bawah ini :</w:t>
      </w:r>
    </w:p>
    <w:p w:rsidR="00DD2782" w:rsidRPr="00DD2782" w:rsidRDefault="00DD2782" w:rsidP="00DD2782">
      <w:pPr>
        <w:numPr>
          <w:ilvl w:val="0"/>
          <w:numId w:val="4"/>
        </w:numPr>
        <w:tabs>
          <w:tab w:val="clear" w:pos="720"/>
        </w:tabs>
        <w:spacing w:before="100" w:beforeAutospacing="1" w:after="100" w:afterAutospacing="1" w:line="360" w:lineRule="auto"/>
        <w:ind w:left="426" w:hanging="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Undang-Undang Nomor 4 Tahun 2004 tentang Kekuasaan Kehakiman; </w:t>
      </w:r>
    </w:p>
    <w:p w:rsidR="00DD2782" w:rsidRPr="00DD2782" w:rsidRDefault="00DD2782" w:rsidP="00DD2782">
      <w:pPr>
        <w:numPr>
          <w:ilvl w:val="1"/>
          <w:numId w:val="4"/>
        </w:numPr>
        <w:tabs>
          <w:tab w:val="clear" w:pos="1440"/>
        </w:tabs>
        <w:spacing w:before="100" w:beforeAutospacing="1" w:after="100" w:afterAutospacing="1" w:line="360" w:lineRule="auto"/>
        <w:ind w:left="851" w:hanging="425"/>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Pasal 13 (1) tentang : Organisasi , administrasi , dan finansial Mahkamah Agung dan badan peradilan yang berada di bawah kekuasaan Mahkamah Agung.</w:t>
      </w:r>
    </w:p>
    <w:p w:rsidR="00DD2782" w:rsidRPr="00DD2782" w:rsidRDefault="00DD2782" w:rsidP="00DD2782">
      <w:pPr>
        <w:numPr>
          <w:ilvl w:val="1"/>
          <w:numId w:val="4"/>
        </w:numPr>
        <w:tabs>
          <w:tab w:val="clear" w:pos="1440"/>
        </w:tabs>
        <w:spacing w:before="100" w:beforeAutospacing="1" w:after="100" w:afterAutospacing="1" w:line="360" w:lineRule="auto"/>
        <w:ind w:left="851" w:hanging="425"/>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Pasal 37 tentang : Setiap orang yang tersangkut perkara berhak memperloleh bantuan hukum. </w:t>
      </w:r>
    </w:p>
    <w:p w:rsidR="00DD2782" w:rsidRPr="00DD2782" w:rsidRDefault="00DD2782" w:rsidP="00DD2782">
      <w:pPr>
        <w:numPr>
          <w:ilvl w:val="0"/>
          <w:numId w:val="4"/>
        </w:numPr>
        <w:tabs>
          <w:tab w:val="clear" w:pos="720"/>
        </w:tabs>
        <w:spacing w:before="100" w:beforeAutospacing="1" w:after="100" w:afterAutospacing="1" w:line="360" w:lineRule="auto"/>
        <w:ind w:left="426" w:hanging="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Undang-Undang Nomor 8 Tahun 1981 tentang Kitab Undang-Undang Hukum Acara Pidana : </w:t>
      </w:r>
    </w:p>
    <w:p w:rsidR="00DD2782" w:rsidRPr="00DD2782" w:rsidRDefault="00DD2782" w:rsidP="00DD2782">
      <w:pPr>
        <w:numPr>
          <w:ilvl w:val="1"/>
          <w:numId w:val="4"/>
        </w:numPr>
        <w:tabs>
          <w:tab w:val="clear" w:pos="1440"/>
        </w:tabs>
        <w:spacing w:before="100" w:beforeAutospacing="1" w:after="100" w:afterAutospacing="1" w:line="360" w:lineRule="auto"/>
        <w:ind w:left="851" w:hanging="425"/>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Pasal 56 (1) tentang : Dalam hal tersangka atau terdakwa disangka atau didakwa melakukan tindak pidana mati atau ancaman pidana lima belas tahun atau lebih atau bagi mereka yang tidak mampu yang diancam dengan pidana lima tahun atau lebih yang tidak mempunyai penaeihat hukum sendiri, pejabat yang bersangkutan pada semua tingkat pemeriksaan dalam proses peradilan wajib menunjuk penasehat hukum bagi mereka ;</w:t>
      </w:r>
    </w:p>
    <w:p w:rsidR="00DD2782" w:rsidRPr="00DD2782" w:rsidRDefault="00DD2782" w:rsidP="00DD2782">
      <w:pPr>
        <w:numPr>
          <w:ilvl w:val="1"/>
          <w:numId w:val="4"/>
        </w:numPr>
        <w:tabs>
          <w:tab w:val="clear" w:pos="1440"/>
        </w:tabs>
        <w:spacing w:before="100" w:beforeAutospacing="1" w:after="100" w:afterAutospacing="1" w:line="360" w:lineRule="auto"/>
        <w:ind w:left="851" w:hanging="425"/>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Pasal 56 (2) tentang : Setiap penasehat hukum yang ditunjuk untuk bertindak sebagaimana dimaksud dalam ayat (1), memberikan bantuannya dengan cuma-cuma. </w:t>
      </w:r>
    </w:p>
    <w:p w:rsidR="00DD2782" w:rsidRPr="00DD2782" w:rsidRDefault="00DD2782" w:rsidP="00DD2782">
      <w:pPr>
        <w:numPr>
          <w:ilvl w:val="0"/>
          <w:numId w:val="4"/>
        </w:numPr>
        <w:tabs>
          <w:tab w:val="clear" w:pos="720"/>
        </w:tabs>
        <w:spacing w:before="100" w:beforeAutospacing="1" w:after="100" w:afterAutospacing="1" w:line="360" w:lineRule="auto"/>
        <w:ind w:left="426" w:hanging="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lastRenderedPageBreak/>
        <w:t>Kitab Undang-Undang Hukum Acara Perdata (HIR/RBG) Pasal 237 HIR/273 RBG tentang : Barangsiapa yang hendak berperkara baik sebagai penggugat maupun sebagai tergugat, tetapi tidak mampu menanggung biayanya, dapat memperoleh izin untuk berperkara dengan cuma-cuma.</w:t>
      </w:r>
    </w:p>
    <w:p w:rsidR="00DD2782" w:rsidRPr="00DD2782" w:rsidRDefault="00DD2782" w:rsidP="00DD2782">
      <w:pPr>
        <w:numPr>
          <w:ilvl w:val="0"/>
          <w:numId w:val="4"/>
        </w:numPr>
        <w:tabs>
          <w:tab w:val="clear" w:pos="72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Instruksi Menteri Kehakiman RI No. M 01-UM.08.10 Tahun 1996, tentang Petunjuk Pelaksanaan Program Bantuan Hukum Bagi Masyarakat Yang Kurang Mampu Melalui Lembaga Bantuan Hukum</w:t>
      </w:r>
    </w:p>
    <w:p w:rsidR="00DD2782" w:rsidRPr="00DD2782" w:rsidRDefault="00DD2782" w:rsidP="00DD2782">
      <w:pPr>
        <w:numPr>
          <w:ilvl w:val="0"/>
          <w:numId w:val="4"/>
        </w:numPr>
        <w:tabs>
          <w:tab w:val="clear" w:pos="72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Instruksi Menteri Kehakiman RI No. M 03-UM.06.02 Tahun 1999, tentang Petunjuk Pelaksanaan Program Bantuan Hukum Bagi Masyarakat Yang Kurang Mampu Melalui Pengadilan Negeri dan Pengadilan Tata Usaha Negara.</w:t>
      </w:r>
    </w:p>
    <w:p w:rsidR="00DD2782" w:rsidRDefault="00DD2782" w:rsidP="00DD2782">
      <w:pPr>
        <w:numPr>
          <w:ilvl w:val="0"/>
          <w:numId w:val="4"/>
        </w:numPr>
        <w:tabs>
          <w:tab w:val="clear" w:pos="72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Surat Edaran Direktur Jenderal Badan Peradilan Umum dan Peradilan Tata Usaha Negara No. D.Um.08.10.10 tanggal 12 Mei 1998 tentang JUKLAK Pelaksanaan Bantuan Hukum Bagi Golongan Masyarakat Yang Kurang Mampu Melalui LBH. </w:t>
      </w:r>
    </w:p>
    <w:p w:rsidR="00DD2782" w:rsidRDefault="00DD2782" w:rsidP="00DD2782">
      <w:pPr>
        <w:numPr>
          <w:ilvl w:val="0"/>
          <w:numId w:val="4"/>
        </w:numPr>
        <w:tabs>
          <w:tab w:val="clear" w:pos="72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Undang-Undang Nomor 16 Tahun 2011 Tentang Bantuan Hukum</w:t>
      </w:r>
    </w:p>
    <w:p w:rsidR="00DD2782" w:rsidRPr="00A07123" w:rsidRDefault="00A07123" w:rsidP="00DD2782">
      <w:pPr>
        <w:spacing w:before="100" w:beforeAutospacing="1" w:after="100" w:afterAutospacing="1" w:line="360" w:lineRule="auto"/>
        <w:ind w:left="66"/>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PENGERTIAN BANTUAN HUKUM DAN ORANG YANG TIDAK MAMPU/MISKIN</w:t>
      </w:r>
    </w:p>
    <w:p w:rsidR="004D294E" w:rsidRDefault="00A07123"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Bantuan hukum adalah jasa hukum yang diberikan oleh pemberi bantuan hukum secara Cuma-Cuma kepada penerima bantuan hukum.</w:t>
      </w:r>
      <w:r>
        <w:rPr>
          <w:rStyle w:val="FootnoteReference"/>
          <w:rFonts w:ascii="Times New Roman" w:eastAsia="Times New Roman" w:hAnsi="Times New Roman" w:cs="Times New Roman"/>
          <w:color w:val="000000" w:themeColor="text1"/>
          <w:sz w:val="24"/>
          <w:szCs w:val="24"/>
          <w:lang w:eastAsia="id-ID"/>
        </w:rPr>
        <w:footnoteReference w:id="4"/>
      </w:r>
      <w:r>
        <w:rPr>
          <w:rFonts w:ascii="Times New Roman" w:eastAsia="Times New Roman" w:hAnsi="Times New Roman" w:cs="Times New Roman"/>
          <w:color w:val="000000" w:themeColor="text1"/>
          <w:sz w:val="24"/>
          <w:szCs w:val="24"/>
          <w:lang w:eastAsia="id-ID"/>
        </w:rPr>
        <w:t xml:space="preserve"> Penerima bantuan hukum adalah adalah orang atau kelompok orang miskin.</w:t>
      </w:r>
      <w:r>
        <w:rPr>
          <w:rStyle w:val="FootnoteReference"/>
          <w:rFonts w:ascii="Times New Roman" w:eastAsia="Times New Roman" w:hAnsi="Times New Roman" w:cs="Times New Roman"/>
          <w:color w:val="000000" w:themeColor="text1"/>
          <w:sz w:val="24"/>
          <w:szCs w:val="24"/>
          <w:lang w:eastAsia="id-ID"/>
        </w:rPr>
        <w:footnoteReference w:id="5"/>
      </w:r>
      <w:r w:rsidR="004D294E">
        <w:rPr>
          <w:rFonts w:ascii="Times New Roman" w:eastAsia="Times New Roman" w:hAnsi="Times New Roman" w:cs="Times New Roman"/>
          <w:color w:val="000000" w:themeColor="text1"/>
          <w:sz w:val="24"/>
          <w:szCs w:val="24"/>
          <w:lang w:eastAsia="id-ID"/>
        </w:rPr>
        <w:t xml:space="preserve"> Sedangkan pemberi bantuan hukum adalah lembaga bantuan hukum atau organisasi kemasyarakatan yang memberi layanan bantuan hukum.</w:t>
      </w:r>
      <w:r w:rsidR="004D294E">
        <w:rPr>
          <w:rStyle w:val="FootnoteReference"/>
          <w:rFonts w:ascii="Times New Roman" w:eastAsia="Times New Roman" w:hAnsi="Times New Roman" w:cs="Times New Roman"/>
          <w:color w:val="000000" w:themeColor="text1"/>
          <w:sz w:val="24"/>
          <w:szCs w:val="24"/>
          <w:lang w:eastAsia="id-ID"/>
        </w:rPr>
        <w:footnoteReference w:id="6"/>
      </w:r>
    </w:p>
    <w:p w:rsidR="00A07123" w:rsidRDefault="00A07123"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 xml:space="preserve">Bantuan hukum diberikan kepada penerima bantuan hukum yang menghadapi masalah hukum, yang meliputi hukum perdata, pidana dan tata usaha negara yang dilakukan secara litigasi maupun nonlitigasi.  </w:t>
      </w:r>
      <w:r w:rsidR="004D294E">
        <w:rPr>
          <w:rFonts w:ascii="Times New Roman" w:eastAsia="Times New Roman" w:hAnsi="Times New Roman" w:cs="Times New Roman"/>
          <w:color w:val="000000" w:themeColor="text1"/>
          <w:sz w:val="24"/>
          <w:szCs w:val="24"/>
          <w:lang w:eastAsia="id-ID"/>
        </w:rPr>
        <w:t>Pemberi bantuan hukum menjalankan kuasa, mendampingi, mewakili, membela, dan/atau melakukan tindakan hukum lain untuk kepentingan hukum penerima bantuan hukum.</w:t>
      </w:r>
      <w:r w:rsidR="004D294E">
        <w:rPr>
          <w:rStyle w:val="FootnoteReference"/>
          <w:rFonts w:ascii="Times New Roman" w:eastAsia="Times New Roman" w:hAnsi="Times New Roman" w:cs="Times New Roman"/>
          <w:color w:val="000000" w:themeColor="text1"/>
          <w:sz w:val="24"/>
          <w:szCs w:val="24"/>
          <w:lang w:eastAsia="id-ID"/>
        </w:rPr>
        <w:footnoteReference w:id="7"/>
      </w:r>
      <w:r w:rsidR="004D294E">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Penerima bantuan hukum sebagaimana dimaksud di atas meliputi </w:t>
      </w:r>
      <w:r w:rsidR="004D294E">
        <w:rPr>
          <w:rFonts w:ascii="Times New Roman" w:eastAsia="Times New Roman" w:hAnsi="Times New Roman" w:cs="Times New Roman"/>
          <w:color w:val="000000" w:themeColor="text1"/>
          <w:sz w:val="24"/>
          <w:szCs w:val="24"/>
          <w:lang w:eastAsia="id-ID"/>
        </w:rPr>
        <w:t xml:space="preserve">setiap orang atau kelompok orang miskin yang tidak dapat </w:t>
      </w:r>
      <w:r w:rsidR="004D294E">
        <w:rPr>
          <w:rFonts w:ascii="Times New Roman" w:eastAsia="Times New Roman" w:hAnsi="Times New Roman" w:cs="Times New Roman"/>
          <w:color w:val="000000" w:themeColor="text1"/>
          <w:sz w:val="24"/>
          <w:szCs w:val="24"/>
          <w:lang w:eastAsia="id-ID"/>
        </w:rPr>
        <w:lastRenderedPageBreak/>
        <w:t>memenuhi hak dasar secara layak dan mandiri, yaitu hak atas pangan, sandang, layanan kesehatan, layanan pendidikan, pekerjaan dan berusaha, dan/atau perumahan.</w:t>
      </w:r>
      <w:r w:rsidR="004D294E">
        <w:rPr>
          <w:rStyle w:val="FootnoteReference"/>
          <w:rFonts w:ascii="Times New Roman" w:eastAsia="Times New Roman" w:hAnsi="Times New Roman" w:cs="Times New Roman"/>
          <w:color w:val="000000" w:themeColor="text1"/>
          <w:sz w:val="24"/>
          <w:szCs w:val="24"/>
          <w:lang w:eastAsia="id-ID"/>
        </w:rPr>
        <w:footnoteReference w:id="8"/>
      </w:r>
    </w:p>
    <w:p w:rsidR="004D294E" w:rsidRDefault="004D294E" w:rsidP="00DD2782">
      <w:pPr>
        <w:spacing w:before="100" w:beforeAutospacing="1" w:after="100" w:afterAutospacing="1" w:line="360" w:lineRule="auto"/>
        <w:ind w:left="66"/>
        <w:jc w:val="both"/>
        <w:rPr>
          <w:rFonts w:ascii="Times New Roman" w:eastAsia="Times New Roman" w:hAnsi="Times New Roman" w:cs="Times New Roman"/>
          <w:b/>
          <w:color w:val="000000" w:themeColor="text1"/>
          <w:sz w:val="24"/>
          <w:szCs w:val="24"/>
          <w:lang w:eastAsia="id-ID"/>
        </w:rPr>
      </w:pPr>
      <w:r w:rsidRPr="004D294E">
        <w:rPr>
          <w:rFonts w:ascii="Times New Roman" w:eastAsia="Times New Roman" w:hAnsi="Times New Roman" w:cs="Times New Roman"/>
          <w:b/>
          <w:color w:val="000000" w:themeColor="text1"/>
          <w:sz w:val="24"/>
          <w:szCs w:val="24"/>
          <w:lang w:eastAsia="id-ID"/>
        </w:rPr>
        <w:t>TUJUAN BANTUAN HUKUM</w:t>
      </w:r>
    </w:p>
    <w:p w:rsidR="004D294E" w:rsidRDefault="004D294E"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Tujuan bantuan hukum diselenggarakan untuk membantu penyelesaian permasalahan hukum yang dihadapi penerima bantuan hukum. Pada prinsipnya diselenggarakan oleh Menteri Hukum dan HAM, namun dalam pelaksanaannya dilakukan oleh Pemberi Bantuan Hukum.</w:t>
      </w:r>
      <w:r>
        <w:rPr>
          <w:rStyle w:val="FootnoteReference"/>
          <w:rFonts w:ascii="Times New Roman" w:eastAsia="Times New Roman" w:hAnsi="Times New Roman" w:cs="Times New Roman"/>
          <w:color w:val="000000" w:themeColor="text1"/>
          <w:sz w:val="24"/>
          <w:szCs w:val="24"/>
          <w:lang w:eastAsia="id-ID"/>
        </w:rPr>
        <w:footnoteReference w:id="9"/>
      </w:r>
      <w:r>
        <w:rPr>
          <w:rFonts w:ascii="Times New Roman" w:eastAsia="Times New Roman" w:hAnsi="Times New Roman" w:cs="Times New Roman"/>
          <w:color w:val="000000" w:themeColor="text1"/>
          <w:sz w:val="24"/>
          <w:szCs w:val="24"/>
          <w:lang w:eastAsia="id-ID"/>
        </w:rPr>
        <w:t xml:space="preserve">  </w:t>
      </w:r>
    </w:p>
    <w:p w:rsidR="008A0634" w:rsidRDefault="008A0634"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Dalam melaksanakan tugas, Menteri berwenang mengawasi dan memastikan penyelenggaraan bantuan hukum dan pemberian bantuan hukum dijalankan sesuai asas dan tujuan yang ditetapkan dalam undang-undang. Menteri juga melakukan verifikasi dan akreditasi terhadap lembaga bantuan hukum atau organisasi kemasyarakatan untuk memenuhi kelayakan sebagai pemberi bantuan hukum.</w:t>
      </w:r>
      <w:r>
        <w:rPr>
          <w:rStyle w:val="FootnoteReference"/>
          <w:rFonts w:ascii="Times New Roman" w:eastAsia="Times New Roman" w:hAnsi="Times New Roman" w:cs="Times New Roman"/>
          <w:color w:val="000000" w:themeColor="text1"/>
          <w:sz w:val="24"/>
          <w:szCs w:val="24"/>
          <w:lang w:eastAsia="id-ID"/>
        </w:rPr>
        <w:footnoteReference w:id="10"/>
      </w:r>
    </w:p>
    <w:p w:rsidR="008A0634" w:rsidRDefault="008A0634"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Tujuan penyelenggaraan bantuan hukum adalah untuk:</w:t>
      </w:r>
    </w:p>
    <w:p w:rsidR="008A0634" w:rsidRDefault="008A0634" w:rsidP="008A0634">
      <w:pPr>
        <w:pStyle w:val="ListParagraph"/>
        <w:numPr>
          <w:ilvl w:val="1"/>
          <w:numId w:val="4"/>
        </w:numPr>
        <w:tabs>
          <w:tab w:val="clear" w:pos="144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Menjamin dan memenuhi hak bagi penerima bantuan hukum untuk mendapatkan akses keadilan.</w:t>
      </w:r>
    </w:p>
    <w:p w:rsidR="008A0634" w:rsidRDefault="008A0634" w:rsidP="008A0634">
      <w:pPr>
        <w:pStyle w:val="ListParagraph"/>
        <w:numPr>
          <w:ilvl w:val="1"/>
          <w:numId w:val="4"/>
        </w:numPr>
        <w:tabs>
          <w:tab w:val="clear" w:pos="144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Mewujudkan hak konstitusional segal warga negara sesuai dengan prinsip persamaan kedudukan di dalam hukum.</w:t>
      </w:r>
    </w:p>
    <w:p w:rsidR="008A0634" w:rsidRDefault="008A0634" w:rsidP="008A0634">
      <w:pPr>
        <w:pStyle w:val="ListParagraph"/>
        <w:numPr>
          <w:ilvl w:val="1"/>
          <w:numId w:val="4"/>
        </w:numPr>
        <w:tabs>
          <w:tab w:val="clear" w:pos="144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Menjamin kepastian penyelenggaraan bantuan hukum dilaksanakan secara merata di seluruh wilayah Negara RI.</w:t>
      </w:r>
    </w:p>
    <w:p w:rsidR="008A0634" w:rsidRDefault="008A0634" w:rsidP="008A0634">
      <w:pPr>
        <w:pStyle w:val="ListParagraph"/>
        <w:numPr>
          <w:ilvl w:val="1"/>
          <w:numId w:val="4"/>
        </w:numPr>
        <w:tabs>
          <w:tab w:val="clear" w:pos="144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Mewujudkan peradilan yang efektif, efisien, dan dapat dipertanggungjawabkan.</w:t>
      </w:r>
    </w:p>
    <w:p w:rsidR="00FA1F37" w:rsidRDefault="00FA1F37" w:rsidP="00FA1F3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PENUTUP</w:t>
      </w:r>
    </w:p>
    <w:p w:rsidR="00FA1F37" w:rsidRDefault="00FA1F37" w:rsidP="00FA1F3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Demikian penyuluhan ini disampaikan, semoga ada manfaatnya bagi kita semua.</w:t>
      </w:r>
    </w:p>
    <w:p w:rsidR="00FA1F37" w:rsidRPr="00FA1F37" w:rsidRDefault="00FA1F37" w:rsidP="00FA1F37">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p>
    <w:sectPr w:rsidR="00FA1F37" w:rsidRPr="00FA1F37" w:rsidSect="005D466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3B1" w:rsidRDefault="000873B1" w:rsidP="00DD2782">
      <w:pPr>
        <w:spacing w:line="240" w:lineRule="auto"/>
      </w:pPr>
      <w:r>
        <w:separator/>
      </w:r>
    </w:p>
  </w:endnote>
  <w:endnote w:type="continuationSeparator" w:id="1">
    <w:p w:rsidR="000873B1" w:rsidRDefault="000873B1" w:rsidP="00DD27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3B1" w:rsidRDefault="000873B1" w:rsidP="00DD2782">
      <w:pPr>
        <w:spacing w:line="240" w:lineRule="auto"/>
      </w:pPr>
      <w:r>
        <w:separator/>
      </w:r>
    </w:p>
  </w:footnote>
  <w:footnote w:type="continuationSeparator" w:id="1">
    <w:p w:rsidR="000873B1" w:rsidRDefault="000873B1" w:rsidP="00DD2782">
      <w:pPr>
        <w:spacing w:line="240" w:lineRule="auto"/>
      </w:pPr>
      <w:r>
        <w:continuationSeparator/>
      </w:r>
    </w:p>
  </w:footnote>
  <w:footnote w:id="2">
    <w:p w:rsidR="00DD2782" w:rsidRDefault="00DD2782">
      <w:pPr>
        <w:pStyle w:val="FootnoteText"/>
      </w:pPr>
      <w:r>
        <w:rPr>
          <w:rStyle w:val="FootnoteReference"/>
        </w:rPr>
        <w:footnoteRef/>
      </w:r>
      <w:r>
        <w:rPr>
          <w:rStyle w:val="FootnoteReference"/>
        </w:rPr>
        <w:footnoteRef/>
      </w:r>
      <w:r>
        <w:t xml:space="preserve"> Disampaikan pada penyuluhan hukum di Desa Girirejo, Ngablak, Kabupaten Magelang, 7 Maret 2015</w:t>
      </w:r>
    </w:p>
  </w:footnote>
  <w:footnote w:id="3">
    <w:p w:rsidR="00DD2782" w:rsidRDefault="00DD2782">
      <w:pPr>
        <w:pStyle w:val="FootnoteText"/>
      </w:pPr>
      <w:r>
        <w:rPr>
          <w:rStyle w:val="FootnoteReference"/>
        </w:rPr>
        <w:footnoteRef/>
      </w:r>
      <w:r>
        <w:t xml:space="preserve"> Dosen Fakultas Hukum Universitas Muhammadiyah Magelang</w:t>
      </w:r>
    </w:p>
  </w:footnote>
  <w:footnote w:id="4">
    <w:p w:rsidR="00A07123" w:rsidRDefault="00A07123">
      <w:pPr>
        <w:pStyle w:val="FootnoteText"/>
      </w:pPr>
      <w:r>
        <w:rPr>
          <w:rStyle w:val="FootnoteReference"/>
        </w:rPr>
        <w:footnoteRef/>
      </w:r>
      <w:r>
        <w:t xml:space="preserve"> Ps. 1 (1) UU N0. 16/2011</w:t>
      </w:r>
    </w:p>
  </w:footnote>
  <w:footnote w:id="5">
    <w:p w:rsidR="00A07123" w:rsidRDefault="00A07123">
      <w:pPr>
        <w:pStyle w:val="FootnoteText"/>
      </w:pPr>
      <w:r>
        <w:rPr>
          <w:rStyle w:val="FootnoteReference"/>
        </w:rPr>
        <w:footnoteRef/>
      </w:r>
      <w:r>
        <w:t xml:space="preserve"> </w:t>
      </w:r>
      <w:r>
        <w:rPr>
          <w:i/>
        </w:rPr>
        <w:t xml:space="preserve">Ibid. </w:t>
      </w:r>
      <w:r>
        <w:t xml:space="preserve">Ps. 1 (2) </w:t>
      </w:r>
    </w:p>
  </w:footnote>
  <w:footnote w:id="6">
    <w:p w:rsidR="004D294E" w:rsidRPr="004D294E" w:rsidRDefault="004D294E">
      <w:pPr>
        <w:pStyle w:val="FootnoteText"/>
      </w:pPr>
      <w:r>
        <w:rPr>
          <w:rStyle w:val="FootnoteReference"/>
        </w:rPr>
        <w:footnoteRef/>
      </w:r>
      <w:r>
        <w:t xml:space="preserve"> </w:t>
      </w:r>
      <w:r>
        <w:rPr>
          <w:i/>
        </w:rPr>
        <w:t xml:space="preserve">Ibid. </w:t>
      </w:r>
      <w:r>
        <w:t>Ps. 1 (3)</w:t>
      </w:r>
    </w:p>
  </w:footnote>
  <w:footnote w:id="7">
    <w:p w:rsidR="004D294E" w:rsidRDefault="004D294E">
      <w:pPr>
        <w:pStyle w:val="FootnoteText"/>
      </w:pPr>
      <w:r>
        <w:rPr>
          <w:rStyle w:val="FootnoteReference"/>
        </w:rPr>
        <w:footnoteRef/>
      </w:r>
      <w:r>
        <w:t xml:space="preserve"> Ps. 4 UU No. 16/2011</w:t>
      </w:r>
    </w:p>
  </w:footnote>
  <w:footnote w:id="8">
    <w:p w:rsidR="004D294E" w:rsidRDefault="004D294E">
      <w:pPr>
        <w:pStyle w:val="FootnoteText"/>
      </w:pPr>
      <w:r>
        <w:rPr>
          <w:rStyle w:val="FootnoteReference"/>
        </w:rPr>
        <w:footnoteRef/>
      </w:r>
      <w:r>
        <w:t xml:space="preserve"> Ps. 5 UU N. 16/2011</w:t>
      </w:r>
    </w:p>
  </w:footnote>
  <w:footnote w:id="9">
    <w:p w:rsidR="004D294E" w:rsidRDefault="004D294E">
      <w:pPr>
        <w:pStyle w:val="FootnoteText"/>
      </w:pPr>
      <w:r>
        <w:rPr>
          <w:rStyle w:val="FootnoteReference"/>
        </w:rPr>
        <w:footnoteRef/>
      </w:r>
      <w:r>
        <w:t xml:space="preserve"> Ps. 6 UU No. 16/2011</w:t>
      </w:r>
    </w:p>
  </w:footnote>
  <w:footnote w:id="10">
    <w:p w:rsidR="008A0634" w:rsidRDefault="008A0634">
      <w:pPr>
        <w:pStyle w:val="FootnoteText"/>
      </w:pPr>
      <w:r>
        <w:rPr>
          <w:rStyle w:val="FootnoteReference"/>
        </w:rPr>
        <w:footnoteRef/>
      </w:r>
      <w:r>
        <w:t xml:space="preserve"> Ps. 7 UU No. 16/2011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45C9E"/>
    <w:multiLevelType w:val="multilevel"/>
    <w:tmpl w:val="5EAE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CB1BE4"/>
    <w:multiLevelType w:val="multilevel"/>
    <w:tmpl w:val="823A6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F708C7"/>
    <w:multiLevelType w:val="multilevel"/>
    <w:tmpl w:val="F9EE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182432"/>
    <w:multiLevelType w:val="multilevel"/>
    <w:tmpl w:val="9000F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DD2782"/>
    <w:rsid w:val="000873B1"/>
    <w:rsid w:val="004D294E"/>
    <w:rsid w:val="005D466F"/>
    <w:rsid w:val="008A0634"/>
    <w:rsid w:val="00A07123"/>
    <w:rsid w:val="00A52CDF"/>
    <w:rsid w:val="00DD2782"/>
    <w:rsid w:val="00FA1F3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78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D2782"/>
    <w:rPr>
      <w:b/>
      <w:bCs/>
    </w:rPr>
  </w:style>
  <w:style w:type="paragraph" w:styleId="FootnoteText">
    <w:name w:val="footnote text"/>
    <w:basedOn w:val="Normal"/>
    <w:link w:val="FootnoteTextChar"/>
    <w:uiPriority w:val="99"/>
    <w:semiHidden/>
    <w:unhideWhenUsed/>
    <w:rsid w:val="00DD2782"/>
    <w:pPr>
      <w:spacing w:line="240" w:lineRule="auto"/>
    </w:pPr>
    <w:rPr>
      <w:sz w:val="20"/>
      <w:szCs w:val="20"/>
    </w:rPr>
  </w:style>
  <w:style w:type="character" w:customStyle="1" w:styleId="FootnoteTextChar">
    <w:name w:val="Footnote Text Char"/>
    <w:basedOn w:val="DefaultParagraphFont"/>
    <w:link w:val="FootnoteText"/>
    <w:uiPriority w:val="99"/>
    <w:semiHidden/>
    <w:rsid w:val="00DD2782"/>
    <w:rPr>
      <w:sz w:val="20"/>
      <w:szCs w:val="20"/>
    </w:rPr>
  </w:style>
  <w:style w:type="character" w:styleId="FootnoteReference">
    <w:name w:val="footnote reference"/>
    <w:basedOn w:val="DefaultParagraphFont"/>
    <w:uiPriority w:val="99"/>
    <w:semiHidden/>
    <w:unhideWhenUsed/>
    <w:rsid w:val="00DD2782"/>
    <w:rPr>
      <w:vertAlign w:val="superscript"/>
    </w:rPr>
  </w:style>
  <w:style w:type="paragraph" w:styleId="ListParagraph">
    <w:name w:val="List Paragraph"/>
    <w:basedOn w:val="Normal"/>
    <w:uiPriority w:val="34"/>
    <w:qFormat/>
    <w:rsid w:val="008A0634"/>
    <w:pPr>
      <w:ind w:left="720"/>
      <w:contextualSpacing/>
    </w:pPr>
  </w:style>
</w:styles>
</file>

<file path=word/webSettings.xml><?xml version="1.0" encoding="utf-8"?>
<w:webSettings xmlns:r="http://schemas.openxmlformats.org/officeDocument/2006/relationships" xmlns:w="http://schemas.openxmlformats.org/wordprocessingml/2006/main">
  <w:divs>
    <w:div w:id="507788599">
      <w:bodyDiv w:val="1"/>
      <w:marLeft w:val="0"/>
      <w:marRight w:val="0"/>
      <w:marTop w:val="0"/>
      <w:marBottom w:val="0"/>
      <w:divBdr>
        <w:top w:val="none" w:sz="0" w:space="0" w:color="auto"/>
        <w:left w:val="none" w:sz="0" w:space="0" w:color="auto"/>
        <w:bottom w:val="none" w:sz="0" w:space="0" w:color="auto"/>
        <w:right w:val="none" w:sz="0" w:space="0" w:color="auto"/>
      </w:divBdr>
      <w:divsChild>
        <w:div w:id="1519274324">
          <w:marLeft w:val="0"/>
          <w:marRight w:val="0"/>
          <w:marTop w:val="0"/>
          <w:marBottom w:val="0"/>
          <w:divBdr>
            <w:top w:val="none" w:sz="0" w:space="0" w:color="auto"/>
            <w:left w:val="none" w:sz="0" w:space="0" w:color="auto"/>
            <w:bottom w:val="none" w:sz="0" w:space="0" w:color="auto"/>
            <w:right w:val="none" w:sz="0" w:space="0" w:color="auto"/>
          </w:divBdr>
        </w:div>
        <w:div w:id="925117314">
          <w:marLeft w:val="0"/>
          <w:marRight w:val="0"/>
          <w:marTop w:val="0"/>
          <w:marBottom w:val="0"/>
          <w:divBdr>
            <w:top w:val="none" w:sz="0" w:space="0" w:color="auto"/>
            <w:left w:val="none" w:sz="0" w:space="0" w:color="auto"/>
            <w:bottom w:val="none" w:sz="0" w:space="0" w:color="auto"/>
            <w:right w:val="none" w:sz="0" w:space="0" w:color="auto"/>
          </w:divBdr>
        </w:div>
        <w:div w:id="549533896">
          <w:marLeft w:val="0"/>
          <w:marRight w:val="0"/>
          <w:marTop w:val="0"/>
          <w:marBottom w:val="0"/>
          <w:divBdr>
            <w:top w:val="none" w:sz="0" w:space="0" w:color="auto"/>
            <w:left w:val="none" w:sz="0" w:space="0" w:color="auto"/>
            <w:bottom w:val="none" w:sz="0" w:space="0" w:color="auto"/>
            <w:right w:val="none" w:sz="0" w:space="0" w:color="auto"/>
          </w:divBdr>
        </w:div>
        <w:div w:id="1613704487">
          <w:marLeft w:val="0"/>
          <w:marRight w:val="0"/>
          <w:marTop w:val="0"/>
          <w:marBottom w:val="0"/>
          <w:divBdr>
            <w:top w:val="none" w:sz="0" w:space="0" w:color="auto"/>
            <w:left w:val="none" w:sz="0" w:space="0" w:color="auto"/>
            <w:bottom w:val="none" w:sz="0" w:space="0" w:color="auto"/>
            <w:right w:val="none" w:sz="0" w:space="0" w:color="auto"/>
          </w:divBdr>
        </w:div>
        <w:div w:id="1145589733">
          <w:marLeft w:val="0"/>
          <w:marRight w:val="0"/>
          <w:marTop w:val="0"/>
          <w:marBottom w:val="0"/>
          <w:divBdr>
            <w:top w:val="none" w:sz="0" w:space="0" w:color="auto"/>
            <w:left w:val="none" w:sz="0" w:space="0" w:color="auto"/>
            <w:bottom w:val="none" w:sz="0" w:space="0" w:color="auto"/>
            <w:right w:val="none" w:sz="0" w:space="0" w:color="auto"/>
          </w:divBdr>
        </w:div>
        <w:div w:id="765419775">
          <w:marLeft w:val="0"/>
          <w:marRight w:val="0"/>
          <w:marTop w:val="0"/>
          <w:marBottom w:val="0"/>
          <w:divBdr>
            <w:top w:val="none" w:sz="0" w:space="0" w:color="auto"/>
            <w:left w:val="none" w:sz="0" w:space="0" w:color="auto"/>
            <w:bottom w:val="none" w:sz="0" w:space="0" w:color="auto"/>
            <w:right w:val="none" w:sz="0" w:space="0" w:color="auto"/>
          </w:divBdr>
        </w:div>
        <w:div w:id="731347061">
          <w:marLeft w:val="0"/>
          <w:marRight w:val="0"/>
          <w:marTop w:val="0"/>
          <w:marBottom w:val="0"/>
          <w:divBdr>
            <w:top w:val="none" w:sz="0" w:space="0" w:color="auto"/>
            <w:left w:val="none" w:sz="0" w:space="0" w:color="auto"/>
            <w:bottom w:val="none" w:sz="0" w:space="0" w:color="auto"/>
            <w:right w:val="none" w:sz="0" w:space="0" w:color="auto"/>
          </w:divBdr>
        </w:div>
        <w:div w:id="1039017765">
          <w:marLeft w:val="0"/>
          <w:marRight w:val="0"/>
          <w:marTop w:val="0"/>
          <w:marBottom w:val="0"/>
          <w:divBdr>
            <w:top w:val="none" w:sz="0" w:space="0" w:color="auto"/>
            <w:left w:val="none" w:sz="0" w:space="0" w:color="auto"/>
            <w:bottom w:val="none" w:sz="0" w:space="0" w:color="auto"/>
            <w:right w:val="none" w:sz="0" w:space="0" w:color="auto"/>
          </w:divBdr>
        </w:div>
        <w:div w:id="1309284481">
          <w:marLeft w:val="0"/>
          <w:marRight w:val="0"/>
          <w:marTop w:val="0"/>
          <w:marBottom w:val="0"/>
          <w:divBdr>
            <w:top w:val="none" w:sz="0" w:space="0" w:color="auto"/>
            <w:left w:val="none" w:sz="0" w:space="0" w:color="auto"/>
            <w:bottom w:val="none" w:sz="0" w:space="0" w:color="auto"/>
            <w:right w:val="none" w:sz="0" w:space="0" w:color="auto"/>
          </w:divBdr>
        </w:div>
        <w:div w:id="654332870">
          <w:marLeft w:val="0"/>
          <w:marRight w:val="0"/>
          <w:marTop w:val="0"/>
          <w:marBottom w:val="0"/>
          <w:divBdr>
            <w:top w:val="none" w:sz="0" w:space="0" w:color="auto"/>
            <w:left w:val="none" w:sz="0" w:space="0" w:color="auto"/>
            <w:bottom w:val="none" w:sz="0" w:space="0" w:color="auto"/>
            <w:right w:val="none" w:sz="0" w:space="0" w:color="auto"/>
          </w:divBdr>
        </w:div>
        <w:div w:id="1847284718">
          <w:marLeft w:val="0"/>
          <w:marRight w:val="0"/>
          <w:marTop w:val="0"/>
          <w:marBottom w:val="0"/>
          <w:divBdr>
            <w:top w:val="none" w:sz="0" w:space="0" w:color="auto"/>
            <w:left w:val="none" w:sz="0" w:space="0" w:color="auto"/>
            <w:bottom w:val="none" w:sz="0" w:space="0" w:color="auto"/>
            <w:right w:val="none" w:sz="0" w:space="0" w:color="auto"/>
          </w:divBdr>
        </w:div>
        <w:div w:id="1677876948">
          <w:marLeft w:val="0"/>
          <w:marRight w:val="0"/>
          <w:marTop w:val="0"/>
          <w:marBottom w:val="0"/>
          <w:divBdr>
            <w:top w:val="none" w:sz="0" w:space="0" w:color="auto"/>
            <w:left w:val="none" w:sz="0" w:space="0" w:color="auto"/>
            <w:bottom w:val="none" w:sz="0" w:space="0" w:color="auto"/>
            <w:right w:val="none" w:sz="0" w:space="0" w:color="auto"/>
          </w:divBdr>
        </w:div>
        <w:div w:id="119612635">
          <w:marLeft w:val="0"/>
          <w:marRight w:val="0"/>
          <w:marTop w:val="0"/>
          <w:marBottom w:val="0"/>
          <w:divBdr>
            <w:top w:val="none" w:sz="0" w:space="0" w:color="auto"/>
            <w:left w:val="none" w:sz="0" w:space="0" w:color="auto"/>
            <w:bottom w:val="none" w:sz="0" w:space="0" w:color="auto"/>
            <w:right w:val="none" w:sz="0" w:space="0" w:color="auto"/>
          </w:divBdr>
        </w:div>
        <w:div w:id="2038894783">
          <w:marLeft w:val="0"/>
          <w:marRight w:val="0"/>
          <w:marTop w:val="0"/>
          <w:marBottom w:val="0"/>
          <w:divBdr>
            <w:top w:val="none" w:sz="0" w:space="0" w:color="auto"/>
            <w:left w:val="none" w:sz="0" w:space="0" w:color="auto"/>
            <w:bottom w:val="none" w:sz="0" w:space="0" w:color="auto"/>
            <w:right w:val="none" w:sz="0" w:space="0" w:color="auto"/>
          </w:divBdr>
        </w:div>
        <w:div w:id="2135055434">
          <w:marLeft w:val="0"/>
          <w:marRight w:val="0"/>
          <w:marTop w:val="0"/>
          <w:marBottom w:val="0"/>
          <w:divBdr>
            <w:top w:val="none" w:sz="0" w:space="0" w:color="auto"/>
            <w:left w:val="none" w:sz="0" w:space="0" w:color="auto"/>
            <w:bottom w:val="none" w:sz="0" w:space="0" w:color="auto"/>
            <w:right w:val="none" w:sz="0" w:space="0" w:color="auto"/>
          </w:divBdr>
        </w:div>
        <w:div w:id="688917734">
          <w:marLeft w:val="0"/>
          <w:marRight w:val="0"/>
          <w:marTop w:val="0"/>
          <w:marBottom w:val="0"/>
          <w:divBdr>
            <w:top w:val="none" w:sz="0" w:space="0" w:color="auto"/>
            <w:left w:val="none" w:sz="0" w:space="0" w:color="auto"/>
            <w:bottom w:val="none" w:sz="0" w:space="0" w:color="auto"/>
            <w:right w:val="none" w:sz="0" w:space="0" w:color="auto"/>
          </w:divBdr>
        </w:div>
        <w:div w:id="1531261069">
          <w:marLeft w:val="0"/>
          <w:marRight w:val="0"/>
          <w:marTop w:val="0"/>
          <w:marBottom w:val="0"/>
          <w:divBdr>
            <w:top w:val="none" w:sz="0" w:space="0" w:color="auto"/>
            <w:left w:val="none" w:sz="0" w:space="0" w:color="auto"/>
            <w:bottom w:val="none" w:sz="0" w:space="0" w:color="auto"/>
            <w:right w:val="none" w:sz="0" w:space="0" w:color="auto"/>
          </w:divBdr>
        </w:div>
        <w:div w:id="682047658">
          <w:marLeft w:val="0"/>
          <w:marRight w:val="0"/>
          <w:marTop w:val="0"/>
          <w:marBottom w:val="0"/>
          <w:divBdr>
            <w:top w:val="none" w:sz="0" w:space="0" w:color="auto"/>
            <w:left w:val="none" w:sz="0" w:space="0" w:color="auto"/>
            <w:bottom w:val="none" w:sz="0" w:space="0" w:color="auto"/>
            <w:right w:val="none" w:sz="0" w:space="0" w:color="auto"/>
          </w:divBdr>
        </w:div>
        <w:div w:id="2107381633">
          <w:marLeft w:val="0"/>
          <w:marRight w:val="0"/>
          <w:marTop w:val="0"/>
          <w:marBottom w:val="0"/>
          <w:divBdr>
            <w:top w:val="none" w:sz="0" w:space="0" w:color="auto"/>
            <w:left w:val="none" w:sz="0" w:space="0" w:color="auto"/>
            <w:bottom w:val="none" w:sz="0" w:space="0" w:color="auto"/>
            <w:right w:val="none" w:sz="0" w:space="0" w:color="auto"/>
          </w:divBdr>
        </w:div>
        <w:div w:id="1303315521">
          <w:marLeft w:val="0"/>
          <w:marRight w:val="0"/>
          <w:marTop w:val="0"/>
          <w:marBottom w:val="0"/>
          <w:divBdr>
            <w:top w:val="none" w:sz="0" w:space="0" w:color="auto"/>
            <w:left w:val="none" w:sz="0" w:space="0" w:color="auto"/>
            <w:bottom w:val="none" w:sz="0" w:space="0" w:color="auto"/>
            <w:right w:val="none" w:sz="0" w:space="0" w:color="auto"/>
          </w:divBdr>
        </w:div>
        <w:div w:id="915749556">
          <w:marLeft w:val="0"/>
          <w:marRight w:val="0"/>
          <w:marTop w:val="0"/>
          <w:marBottom w:val="0"/>
          <w:divBdr>
            <w:top w:val="none" w:sz="0" w:space="0" w:color="auto"/>
            <w:left w:val="none" w:sz="0" w:space="0" w:color="auto"/>
            <w:bottom w:val="none" w:sz="0" w:space="0" w:color="auto"/>
            <w:right w:val="none" w:sz="0" w:space="0" w:color="auto"/>
          </w:divBdr>
        </w:div>
        <w:div w:id="880628153">
          <w:marLeft w:val="0"/>
          <w:marRight w:val="0"/>
          <w:marTop w:val="0"/>
          <w:marBottom w:val="0"/>
          <w:divBdr>
            <w:top w:val="none" w:sz="0" w:space="0" w:color="auto"/>
            <w:left w:val="none" w:sz="0" w:space="0" w:color="auto"/>
            <w:bottom w:val="none" w:sz="0" w:space="0" w:color="auto"/>
            <w:right w:val="none" w:sz="0" w:space="0" w:color="auto"/>
          </w:divBdr>
        </w:div>
        <w:div w:id="1343968335">
          <w:marLeft w:val="0"/>
          <w:marRight w:val="0"/>
          <w:marTop w:val="0"/>
          <w:marBottom w:val="0"/>
          <w:divBdr>
            <w:top w:val="none" w:sz="0" w:space="0" w:color="auto"/>
            <w:left w:val="none" w:sz="0" w:space="0" w:color="auto"/>
            <w:bottom w:val="none" w:sz="0" w:space="0" w:color="auto"/>
            <w:right w:val="none" w:sz="0" w:space="0" w:color="auto"/>
          </w:divBdr>
        </w:div>
        <w:div w:id="1994598896">
          <w:marLeft w:val="0"/>
          <w:marRight w:val="0"/>
          <w:marTop w:val="0"/>
          <w:marBottom w:val="0"/>
          <w:divBdr>
            <w:top w:val="none" w:sz="0" w:space="0" w:color="auto"/>
            <w:left w:val="none" w:sz="0" w:space="0" w:color="auto"/>
            <w:bottom w:val="none" w:sz="0" w:space="0" w:color="auto"/>
            <w:right w:val="none" w:sz="0" w:space="0" w:color="auto"/>
          </w:divBdr>
        </w:div>
        <w:div w:id="1581910891">
          <w:marLeft w:val="0"/>
          <w:marRight w:val="0"/>
          <w:marTop w:val="0"/>
          <w:marBottom w:val="0"/>
          <w:divBdr>
            <w:top w:val="none" w:sz="0" w:space="0" w:color="auto"/>
            <w:left w:val="none" w:sz="0" w:space="0" w:color="auto"/>
            <w:bottom w:val="none" w:sz="0" w:space="0" w:color="auto"/>
            <w:right w:val="none" w:sz="0" w:space="0" w:color="auto"/>
          </w:divBdr>
        </w:div>
        <w:div w:id="411241266">
          <w:marLeft w:val="0"/>
          <w:marRight w:val="0"/>
          <w:marTop w:val="0"/>
          <w:marBottom w:val="0"/>
          <w:divBdr>
            <w:top w:val="none" w:sz="0" w:space="0" w:color="auto"/>
            <w:left w:val="none" w:sz="0" w:space="0" w:color="auto"/>
            <w:bottom w:val="none" w:sz="0" w:space="0" w:color="auto"/>
            <w:right w:val="none" w:sz="0" w:space="0" w:color="auto"/>
          </w:divBdr>
        </w:div>
        <w:div w:id="165362355">
          <w:marLeft w:val="0"/>
          <w:marRight w:val="0"/>
          <w:marTop w:val="0"/>
          <w:marBottom w:val="0"/>
          <w:divBdr>
            <w:top w:val="none" w:sz="0" w:space="0" w:color="auto"/>
            <w:left w:val="none" w:sz="0" w:space="0" w:color="auto"/>
            <w:bottom w:val="none" w:sz="0" w:space="0" w:color="auto"/>
            <w:right w:val="none" w:sz="0" w:space="0" w:color="auto"/>
          </w:divBdr>
        </w:div>
        <w:div w:id="2124692978">
          <w:marLeft w:val="0"/>
          <w:marRight w:val="0"/>
          <w:marTop w:val="0"/>
          <w:marBottom w:val="0"/>
          <w:divBdr>
            <w:top w:val="none" w:sz="0" w:space="0" w:color="auto"/>
            <w:left w:val="none" w:sz="0" w:space="0" w:color="auto"/>
            <w:bottom w:val="none" w:sz="0" w:space="0" w:color="auto"/>
            <w:right w:val="none" w:sz="0" w:space="0" w:color="auto"/>
          </w:divBdr>
        </w:div>
        <w:div w:id="282033913">
          <w:marLeft w:val="0"/>
          <w:marRight w:val="0"/>
          <w:marTop w:val="0"/>
          <w:marBottom w:val="0"/>
          <w:divBdr>
            <w:top w:val="none" w:sz="0" w:space="0" w:color="auto"/>
            <w:left w:val="none" w:sz="0" w:space="0" w:color="auto"/>
            <w:bottom w:val="none" w:sz="0" w:space="0" w:color="auto"/>
            <w:right w:val="none" w:sz="0" w:space="0" w:color="auto"/>
          </w:divBdr>
        </w:div>
        <w:div w:id="1343509498">
          <w:marLeft w:val="0"/>
          <w:marRight w:val="0"/>
          <w:marTop w:val="0"/>
          <w:marBottom w:val="0"/>
          <w:divBdr>
            <w:top w:val="none" w:sz="0" w:space="0" w:color="auto"/>
            <w:left w:val="none" w:sz="0" w:space="0" w:color="auto"/>
            <w:bottom w:val="none" w:sz="0" w:space="0" w:color="auto"/>
            <w:right w:val="none" w:sz="0" w:space="0" w:color="auto"/>
          </w:divBdr>
        </w:div>
        <w:div w:id="1179004313">
          <w:marLeft w:val="0"/>
          <w:marRight w:val="0"/>
          <w:marTop w:val="0"/>
          <w:marBottom w:val="0"/>
          <w:divBdr>
            <w:top w:val="none" w:sz="0" w:space="0" w:color="auto"/>
            <w:left w:val="none" w:sz="0" w:space="0" w:color="auto"/>
            <w:bottom w:val="none" w:sz="0" w:space="0" w:color="auto"/>
            <w:right w:val="none" w:sz="0" w:space="0" w:color="auto"/>
          </w:divBdr>
        </w:div>
        <w:div w:id="1855458933">
          <w:marLeft w:val="0"/>
          <w:marRight w:val="0"/>
          <w:marTop w:val="0"/>
          <w:marBottom w:val="0"/>
          <w:divBdr>
            <w:top w:val="none" w:sz="0" w:space="0" w:color="auto"/>
            <w:left w:val="none" w:sz="0" w:space="0" w:color="auto"/>
            <w:bottom w:val="none" w:sz="0" w:space="0" w:color="auto"/>
            <w:right w:val="none" w:sz="0" w:space="0" w:color="auto"/>
          </w:divBdr>
        </w:div>
        <w:div w:id="610015113">
          <w:marLeft w:val="0"/>
          <w:marRight w:val="0"/>
          <w:marTop w:val="0"/>
          <w:marBottom w:val="0"/>
          <w:divBdr>
            <w:top w:val="none" w:sz="0" w:space="0" w:color="auto"/>
            <w:left w:val="none" w:sz="0" w:space="0" w:color="auto"/>
            <w:bottom w:val="none" w:sz="0" w:space="0" w:color="auto"/>
            <w:right w:val="none" w:sz="0" w:space="0" w:color="auto"/>
          </w:divBdr>
        </w:div>
        <w:div w:id="1606305309">
          <w:marLeft w:val="0"/>
          <w:marRight w:val="0"/>
          <w:marTop w:val="0"/>
          <w:marBottom w:val="0"/>
          <w:divBdr>
            <w:top w:val="none" w:sz="0" w:space="0" w:color="auto"/>
            <w:left w:val="none" w:sz="0" w:space="0" w:color="auto"/>
            <w:bottom w:val="none" w:sz="0" w:space="0" w:color="auto"/>
            <w:right w:val="none" w:sz="0" w:space="0" w:color="auto"/>
          </w:divBdr>
        </w:div>
        <w:div w:id="1740439564">
          <w:marLeft w:val="0"/>
          <w:marRight w:val="0"/>
          <w:marTop w:val="0"/>
          <w:marBottom w:val="0"/>
          <w:divBdr>
            <w:top w:val="none" w:sz="0" w:space="0" w:color="auto"/>
            <w:left w:val="none" w:sz="0" w:space="0" w:color="auto"/>
            <w:bottom w:val="none" w:sz="0" w:space="0" w:color="auto"/>
            <w:right w:val="none" w:sz="0" w:space="0" w:color="auto"/>
          </w:divBdr>
        </w:div>
        <w:div w:id="1509982110">
          <w:marLeft w:val="0"/>
          <w:marRight w:val="0"/>
          <w:marTop w:val="0"/>
          <w:marBottom w:val="0"/>
          <w:divBdr>
            <w:top w:val="none" w:sz="0" w:space="0" w:color="auto"/>
            <w:left w:val="none" w:sz="0" w:space="0" w:color="auto"/>
            <w:bottom w:val="none" w:sz="0" w:space="0" w:color="auto"/>
            <w:right w:val="none" w:sz="0" w:space="0" w:color="auto"/>
          </w:divBdr>
        </w:div>
        <w:div w:id="92669159">
          <w:marLeft w:val="0"/>
          <w:marRight w:val="0"/>
          <w:marTop w:val="0"/>
          <w:marBottom w:val="0"/>
          <w:divBdr>
            <w:top w:val="none" w:sz="0" w:space="0" w:color="auto"/>
            <w:left w:val="none" w:sz="0" w:space="0" w:color="auto"/>
            <w:bottom w:val="none" w:sz="0" w:space="0" w:color="auto"/>
            <w:right w:val="none" w:sz="0" w:space="0" w:color="auto"/>
          </w:divBdr>
        </w:div>
        <w:div w:id="372657753">
          <w:marLeft w:val="0"/>
          <w:marRight w:val="0"/>
          <w:marTop w:val="0"/>
          <w:marBottom w:val="0"/>
          <w:divBdr>
            <w:top w:val="none" w:sz="0" w:space="0" w:color="auto"/>
            <w:left w:val="none" w:sz="0" w:space="0" w:color="auto"/>
            <w:bottom w:val="none" w:sz="0" w:space="0" w:color="auto"/>
            <w:right w:val="none" w:sz="0" w:space="0" w:color="auto"/>
          </w:divBdr>
        </w:div>
        <w:div w:id="1230573512">
          <w:marLeft w:val="0"/>
          <w:marRight w:val="0"/>
          <w:marTop w:val="0"/>
          <w:marBottom w:val="0"/>
          <w:divBdr>
            <w:top w:val="none" w:sz="0" w:space="0" w:color="auto"/>
            <w:left w:val="none" w:sz="0" w:space="0" w:color="auto"/>
            <w:bottom w:val="none" w:sz="0" w:space="0" w:color="auto"/>
            <w:right w:val="none" w:sz="0" w:space="0" w:color="auto"/>
          </w:divBdr>
        </w:div>
        <w:div w:id="1725525043">
          <w:marLeft w:val="0"/>
          <w:marRight w:val="0"/>
          <w:marTop w:val="0"/>
          <w:marBottom w:val="0"/>
          <w:divBdr>
            <w:top w:val="none" w:sz="0" w:space="0" w:color="auto"/>
            <w:left w:val="none" w:sz="0" w:space="0" w:color="auto"/>
            <w:bottom w:val="none" w:sz="0" w:space="0" w:color="auto"/>
            <w:right w:val="none" w:sz="0" w:space="0" w:color="auto"/>
          </w:divBdr>
        </w:div>
        <w:div w:id="34540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905B2-E13A-4C37-B1D0-3B0FA30D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2</cp:revision>
  <dcterms:created xsi:type="dcterms:W3CDTF">2015-08-19T01:54:00Z</dcterms:created>
  <dcterms:modified xsi:type="dcterms:W3CDTF">2015-08-19T02:35:00Z</dcterms:modified>
</cp:coreProperties>
</file>